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BD" w:rsidRDefault="007774AE">
      <w:pPr>
        <w:spacing w:after="0"/>
        <w:ind w:left="-367" w:right="-367"/>
      </w:pPr>
      <w:bookmarkStart w:id="0" w:name="_GoBack"/>
      <w:r>
        <w:rPr>
          <w:noProof/>
        </w:rPr>
        <w:drawing>
          <wp:inline distT="0" distB="0" distL="0" distR="0">
            <wp:extent cx="6193536" cy="809548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3536" cy="809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4CBD">
      <w:pgSz w:w="11900" w:h="16840"/>
      <w:pgMar w:top="10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BD"/>
    <w:rsid w:val="00364CBD"/>
    <w:rsid w:val="0077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CAD78-56BD-47BE-A785-FEC1A60D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Exportação de Notas - ODONTO RLC EIRELI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Exportação de Notas - ODONTO RLC EIRELI</dc:title>
  <dc:subject/>
  <dc:creator>ODONTO RLC EIRELI, CNPJ 25.331.829/0001-06, Inscrição no. 1.023.365-8</dc:creator>
  <cp:keywords/>
  <cp:lastModifiedBy>Princesa</cp:lastModifiedBy>
  <cp:revision>2</cp:revision>
  <dcterms:created xsi:type="dcterms:W3CDTF">2020-10-23T18:50:00Z</dcterms:created>
  <dcterms:modified xsi:type="dcterms:W3CDTF">2020-10-23T18:50:00Z</dcterms:modified>
</cp:coreProperties>
</file>